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drawing>
          <wp:anchor simplePos="0" relativeHeight="251657728" behindDoc="1" locked="0" layoutInCell="0" allowOverlap="1">
            <wp:simplePos x="0" y="0"/>
            <wp:positionH relativeFrom="page">
              <wp:posOffset>276860</wp:posOffset>
            </wp:positionH>
            <wp:positionV relativeFrom="page">
              <wp:posOffset>166370</wp:posOffset>
            </wp:positionV>
            <wp:extent cx="699516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page">
              <wp:posOffset>276860</wp:posOffset>
            </wp:positionH>
            <wp:positionV relativeFrom="page">
              <wp:posOffset>208915</wp:posOffset>
            </wp:positionV>
            <wp:extent cx="699516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6995160" cy="8255"/>
                    </a:xfrm>
                    <a:prstGeom prst="rect">
                      <a:avLst/>
                    </a:prstGeom>
                    <a:noFill/>
                  </pic:spPr>
                </pic:pic>
              </a:graphicData>
            </a:graphic>
          </wp:anchor>
        </w:drawing>
        <w:t>UNITED STATES</w:t>
      </w:r>
    </w:p>
    <w:p>
      <w:pPr>
        <w:spacing w:after="0" w:line="37"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193040</wp:posOffset>
            </wp:positionV>
            <wp:extent cx="1474470"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12"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224790</wp:posOffset>
            </wp:positionV>
            <wp:extent cx="1474470" cy="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78"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CURRENT REPORT</w:t>
      </w:r>
    </w:p>
    <w:p>
      <w:pPr>
        <w:spacing w:after="0" w:line="8"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PURSUANT TO SECTION 13 OR 15(d)</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OF THE SECURITIES EXCHANGE ACT OF 1934</w:t>
      </w:r>
    </w:p>
    <w:p>
      <w:pPr>
        <w:spacing w:after="0" w:line="124"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Date of Report (Date of earliest event reported): June 20, 2024</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219075</wp:posOffset>
            </wp:positionV>
            <wp:extent cx="1474470" cy="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50"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42"/>
          <w:szCs w:val="42"/>
          <w:b w:val="1"/>
          <w:bCs w:val="1"/>
          <w:color w:val="auto"/>
        </w:rPr>
        <w:t>MICROSTRATEGY INCORPORATED</w:t>
      </w:r>
    </w:p>
    <w:p>
      <w:pPr>
        <w:spacing w:after="0" w:line="70"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201930</wp:posOffset>
            </wp:positionV>
            <wp:extent cx="1474470" cy="889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1474470" cy="8890"/>
                    </a:xfrm>
                    <a:prstGeom prst="rect">
                      <a:avLst/>
                    </a:prstGeom>
                    <a:noFill/>
                  </pic:spPr>
                </pic:pic>
              </a:graphicData>
            </a:graphic>
          </wp:anchor>
        </w:drawing>
      </w:r>
    </w:p>
    <w:p>
      <w:pPr>
        <w:sectPr>
          <w:pgSz w:w="11900" w:h="16838" w:orient="portrait"/>
          <w:cols w:equalWidth="0" w:num="1">
            <w:col w:w="11020"/>
          </w:cols>
          <w:pgMar w:left="440" w:top="376" w:right="439" w:bottom="1440" w:gutter="0" w:footer="0" w:header="0"/>
        </w:sectPr>
      </w:pPr>
    </w:p>
    <w:p>
      <w:pPr>
        <w:spacing w:after="0" w:line="200" w:lineRule="exact"/>
        <w:rPr>
          <w:sz w:val="24"/>
          <w:szCs w:val="24"/>
          <w:color w:val="auto"/>
        </w:rPr>
      </w:pPr>
    </w:p>
    <w:p>
      <w:pPr>
        <w:spacing w:after="0" w:line="352" w:lineRule="exact"/>
        <w:rPr>
          <w:sz w:val="24"/>
          <w:szCs w:val="24"/>
          <w:color w:val="auto"/>
        </w:rPr>
      </w:pPr>
    </w:p>
    <w:p>
      <w:pPr>
        <w:ind w:left="1500"/>
        <w:spacing w:after="0"/>
        <w:rPr>
          <w:sz w:val="20"/>
          <w:szCs w:val="20"/>
          <w:color w:val="auto"/>
        </w:rPr>
      </w:pPr>
      <w:r>
        <w:rPr>
          <w:rFonts w:ascii="Times New Roman" w:cs="Times New Roman" w:eastAsia="Times New Roman" w:hAnsi="Times New Roman"/>
          <w:sz w:val="17"/>
          <w:szCs w:val="17"/>
          <w:b w:val="1"/>
          <w:bCs w:val="1"/>
          <w:color w:val="auto"/>
        </w:rPr>
        <w:t>Delaware</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332" w:lineRule="exact"/>
        <w:rPr>
          <w:sz w:val="24"/>
          <w:szCs w:val="24"/>
          <w:color w:val="auto"/>
        </w:rPr>
      </w:pPr>
    </w:p>
    <w:p>
      <w:pPr>
        <w:jc w:val="center"/>
        <w:ind w:right="2180"/>
        <w:spacing w:after="0"/>
        <w:rPr>
          <w:sz w:val="20"/>
          <w:szCs w:val="20"/>
          <w:color w:val="auto"/>
        </w:rPr>
      </w:pPr>
      <w:r>
        <w:rPr>
          <w:rFonts w:ascii="Times New Roman" w:cs="Times New Roman" w:eastAsia="Times New Roman" w:hAnsi="Times New Roman"/>
          <w:sz w:val="17"/>
          <w:szCs w:val="17"/>
          <w:b w:val="1"/>
          <w:bCs w:val="1"/>
          <w:color w:val="auto"/>
        </w:rPr>
        <w:t>0-24435</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332"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51-0323571</w:t>
      </w:r>
    </w:p>
    <w:p>
      <w:pPr>
        <w:spacing w:after="0" w:line="24" w:lineRule="exact"/>
        <w:rPr>
          <w:sz w:val="24"/>
          <w:szCs w:val="24"/>
          <w:color w:val="auto"/>
        </w:rPr>
      </w:pPr>
    </w:p>
    <w:p>
      <w:pPr>
        <w:sectPr>
          <w:pgSz w:w="11900" w:h="16838" w:orient="portrait"/>
          <w:cols w:equalWidth="0" w:num="3">
            <w:col w:w="4600" w:space="720"/>
            <w:col w:w="2780" w:space="720"/>
            <w:col w:w="2200"/>
          </w:cols>
          <w:pgMar w:left="440" w:top="376" w:right="439" w:bottom="1440" w:gutter="0" w:footer="0" w:header="0"/>
          <w:type w:val="continuous"/>
        </w:sectPr>
      </w:pP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(State or other jurisdiction</w:t>
      </w: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of incorporation)</w:t>
      </w:r>
    </w:p>
    <w:p>
      <w:pPr>
        <w:spacing w:after="0" w:line="20" w:lineRule="exact"/>
        <w:rPr>
          <w:sz w:val="24"/>
          <w:szCs w:val="24"/>
          <w:color w:val="auto"/>
        </w:rPr>
      </w:pPr>
      <w:r>
        <w:rPr>
          <w:sz w:val="24"/>
          <w:szCs w:val="24"/>
          <w:color w:val="auto"/>
        </w:rPr>
        <w:br w:type="column"/>
      </w:r>
    </w:p>
    <w:p>
      <w:pPr>
        <w:ind w:left="20"/>
        <w:spacing w:after="0"/>
        <w:rPr>
          <w:sz w:val="20"/>
          <w:szCs w:val="20"/>
          <w:color w:val="auto"/>
        </w:rPr>
      </w:pPr>
      <w:r>
        <w:rPr>
          <w:rFonts w:ascii="Times New Roman" w:cs="Times New Roman" w:eastAsia="Times New Roman" w:hAnsi="Times New Roman"/>
          <w:sz w:val="14"/>
          <w:szCs w:val="14"/>
          <w:b w:val="1"/>
          <w:bCs w:val="1"/>
          <w:color w:val="auto"/>
        </w:rPr>
        <w:t>(Commission</w:t>
      </w:r>
    </w:p>
    <w:p>
      <w:pPr>
        <w:spacing w:after="0"/>
        <w:rPr>
          <w:sz w:val="20"/>
          <w:szCs w:val="20"/>
          <w:color w:val="auto"/>
        </w:rPr>
      </w:pPr>
      <w:r>
        <w:rPr>
          <w:rFonts w:ascii="Times New Roman" w:cs="Times New Roman" w:eastAsia="Times New Roman" w:hAnsi="Times New Roman"/>
          <w:sz w:val="14"/>
          <w:szCs w:val="14"/>
          <w:b w:val="1"/>
          <w:bCs w:val="1"/>
          <w:color w:val="auto"/>
        </w:rPr>
        <w:t>File Number)</w:t>
      </w:r>
    </w:p>
    <w:p>
      <w:pPr>
        <w:spacing w:after="0" w:line="20" w:lineRule="exact"/>
        <w:rPr>
          <w:sz w:val="24"/>
          <w:szCs w:val="24"/>
          <w:color w:val="auto"/>
        </w:rPr>
      </w:pPr>
      <w:r>
        <w:rPr>
          <w:sz w:val="24"/>
          <w:szCs w:val="24"/>
          <w:color w:val="auto"/>
        </w:rPr>
        <w:br w:type="column"/>
      </w:r>
    </w:p>
    <w:p>
      <w:pPr>
        <w:ind w:left="60"/>
        <w:spacing w:after="0"/>
        <w:rPr>
          <w:sz w:val="20"/>
          <w:szCs w:val="20"/>
          <w:color w:val="auto"/>
        </w:rPr>
      </w:pPr>
      <w:r>
        <w:rPr>
          <w:rFonts w:ascii="Times New Roman" w:cs="Times New Roman" w:eastAsia="Times New Roman" w:hAnsi="Times New Roman"/>
          <w:sz w:val="14"/>
          <w:szCs w:val="14"/>
          <w:b w:val="1"/>
          <w:bCs w:val="1"/>
          <w:color w:val="auto"/>
        </w:rPr>
        <w:t>(I.R.S. Employer</w:t>
      </w:r>
    </w:p>
    <w:p>
      <w:pPr>
        <w:spacing w:after="0"/>
        <w:rPr>
          <w:sz w:val="20"/>
          <w:szCs w:val="20"/>
          <w:color w:val="auto"/>
        </w:rPr>
      </w:pPr>
      <w:r>
        <w:rPr>
          <w:rFonts w:ascii="Times New Roman" w:cs="Times New Roman" w:eastAsia="Times New Roman" w:hAnsi="Times New Roman"/>
          <w:sz w:val="14"/>
          <w:szCs w:val="14"/>
          <w:b w:val="1"/>
          <w:bCs w:val="1"/>
          <w:color w:val="auto"/>
        </w:rPr>
        <w:t>Identification No.)</w:t>
      </w:r>
    </w:p>
    <w:p>
      <w:pPr>
        <w:spacing w:after="0" w:line="188" w:lineRule="exact"/>
        <w:rPr>
          <w:sz w:val="24"/>
          <w:szCs w:val="24"/>
          <w:color w:val="auto"/>
        </w:rPr>
      </w:pPr>
    </w:p>
    <w:p>
      <w:pPr>
        <w:sectPr>
          <w:pgSz w:w="11900" w:h="16838" w:orient="portrait"/>
          <w:cols w:equalWidth="0" w:num="3">
            <w:col w:w="4480" w:space="720"/>
            <w:col w:w="2760" w:space="720"/>
            <w:col w:w="2340"/>
          </w:cols>
          <w:pgMar w:left="440" w:top="376" w:right="439" w:bottom="1440" w:gutter="0" w:footer="0" w:header="0"/>
          <w:type w:val="continuous"/>
        </w:sectPr>
      </w:pPr>
    </w:p>
    <w:p>
      <w:pPr>
        <w:jc w:val="center"/>
        <w:ind w:right="1860"/>
        <w:spacing w:after="0"/>
        <w:rPr>
          <w:sz w:val="20"/>
          <w:szCs w:val="20"/>
          <w:color w:val="auto"/>
        </w:rPr>
      </w:pPr>
      <w:r>
        <w:rPr>
          <w:rFonts w:ascii="Times New Roman" w:cs="Times New Roman" w:eastAsia="Times New Roman" w:hAnsi="Times New Roman"/>
          <w:sz w:val="17"/>
          <w:szCs w:val="17"/>
          <w:b w:val="1"/>
          <w:bCs w:val="1"/>
          <w:color w:val="auto"/>
        </w:rPr>
        <w:t>1850 Towers Crescent Plaza</w:t>
      </w:r>
    </w:p>
    <w:p>
      <w:pPr>
        <w:spacing w:after="0" w:line="43" w:lineRule="exact"/>
        <w:rPr>
          <w:sz w:val="24"/>
          <w:szCs w:val="24"/>
          <w:color w:val="auto"/>
        </w:rPr>
      </w:pPr>
    </w:p>
    <w:p>
      <w:pPr>
        <w:jc w:val="center"/>
        <w:ind w:right="1860"/>
        <w:spacing w:after="0"/>
        <w:rPr>
          <w:sz w:val="20"/>
          <w:szCs w:val="20"/>
          <w:color w:val="auto"/>
        </w:rPr>
      </w:pPr>
      <w:r>
        <w:rPr>
          <w:rFonts w:ascii="Times New Roman" w:cs="Times New Roman" w:eastAsia="Times New Roman" w:hAnsi="Times New Roman"/>
          <w:sz w:val="18"/>
          <w:szCs w:val="18"/>
          <w:b w:val="1"/>
          <w:bCs w:val="1"/>
          <w:color w:val="auto"/>
        </w:rPr>
        <w:t>Tysons Corner, Virginia</w:t>
      </w:r>
    </w:p>
    <w:p>
      <w:pPr>
        <w:spacing w:after="0" w:line="20" w:lineRule="exact"/>
        <w:rPr>
          <w:sz w:val="24"/>
          <w:szCs w:val="24"/>
          <w:color w:val="auto"/>
        </w:rPr>
      </w:pPr>
      <w:r>
        <w:rPr>
          <w:sz w:val="24"/>
          <w:szCs w:val="24"/>
          <w:color w:val="auto"/>
        </w:rPr>
        <w:br w:type="column"/>
      </w:r>
    </w:p>
    <w:p>
      <w:pPr>
        <w:spacing w:after="0" w:line="209"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22182</w:t>
      </w:r>
    </w:p>
    <w:p>
      <w:pPr>
        <w:spacing w:after="0" w:line="43" w:lineRule="exact"/>
        <w:rPr>
          <w:sz w:val="24"/>
          <w:szCs w:val="24"/>
          <w:color w:val="auto"/>
        </w:rPr>
      </w:pPr>
    </w:p>
    <w:p>
      <w:pPr>
        <w:sectPr>
          <w:pgSz w:w="11900" w:h="16838" w:orient="portrait"/>
          <w:cols w:equalWidth="0" w:num="2">
            <w:col w:w="7400" w:space="720"/>
            <w:col w:w="2900"/>
          </w:cols>
          <w:pgMar w:left="440" w:top="376" w:right="439" w:bottom="1440" w:gutter="0" w:footer="0" w:header="0"/>
          <w:type w:val="continuous"/>
        </w:sectPr>
      </w:pPr>
    </w:p>
    <w:p>
      <w:pPr>
        <w:ind w:left="1580"/>
        <w:spacing w:after="0"/>
        <w:rPr>
          <w:sz w:val="20"/>
          <w:szCs w:val="20"/>
          <w:color w:val="auto"/>
        </w:rPr>
      </w:pPr>
      <w:r>
        <w:rPr>
          <w:rFonts w:ascii="Times New Roman" w:cs="Times New Roman" w:eastAsia="Times New Roman" w:hAnsi="Times New Roman"/>
          <w:sz w:val="14"/>
          <w:szCs w:val="14"/>
          <w:b w:val="1"/>
          <w:bCs w:val="1"/>
          <w:color w:val="auto"/>
        </w:rPr>
        <w:t>(Address of principal executive offices)</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Times New Roman" w:cs="Times New Roman" w:eastAsia="Times New Roman" w:hAnsi="Times New Roman"/>
          <w:sz w:val="14"/>
          <w:szCs w:val="14"/>
          <w:b w:val="1"/>
          <w:bCs w:val="1"/>
          <w:color w:val="auto"/>
        </w:rPr>
        <w:t>(Zip Code)</w:t>
      </w:r>
    </w:p>
    <w:p>
      <w:pPr>
        <w:spacing w:after="0" w:line="127" w:lineRule="exact"/>
        <w:rPr>
          <w:sz w:val="24"/>
          <w:szCs w:val="24"/>
          <w:color w:val="auto"/>
        </w:rPr>
      </w:pPr>
    </w:p>
    <w:p>
      <w:pPr>
        <w:sectPr>
          <w:pgSz w:w="11900" w:h="16838" w:orient="portrait"/>
          <w:cols w:equalWidth="0" w:num="2">
            <w:col w:w="7280" w:space="720"/>
            <w:col w:w="3020"/>
          </w:cols>
          <w:pgMar w:left="440" w:top="376" w:right="439" w:bottom="1440" w:gutter="0" w:footer="0" w:header="0"/>
          <w:type w:val="continuous"/>
        </w:sectPr>
      </w:pPr>
    </w:p>
    <w:p>
      <w:pPr>
        <w:jc w:val="center"/>
        <w:spacing w:after="0"/>
        <w:rPr>
          <w:sz w:val="20"/>
          <w:szCs w:val="20"/>
          <w:color w:val="auto"/>
        </w:rPr>
      </w:pPr>
      <w:r>
        <w:rPr>
          <w:rFonts w:ascii="Times New Roman" w:cs="Times New Roman" w:eastAsia="Times New Roman" w:hAnsi="Times New Roman"/>
          <w:sz w:val="18"/>
          <w:szCs w:val="18"/>
          <w:b w:val="1"/>
          <w:bCs w:val="1"/>
          <w:color w:val="auto"/>
        </w:rPr>
        <w:t>Registrant’s telephone number, including area code: (703) 848-8600</w:t>
      </w:r>
    </w:p>
    <w:p>
      <w:pPr>
        <w:spacing w:after="0" w:line="371"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205105</wp:posOffset>
            </wp:positionV>
            <wp:extent cx="1474470"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60" w:lineRule="exact"/>
        <w:rPr>
          <w:sz w:val="24"/>
          <w:szCs w:val="24"/>
          <w:color w:val="auto"/>
        </w:rPr>
      </w:pPr>
    </w:p>
    <w:p>
      <w:pPr>
        <w:spacing w:after="0" w:line="282" w:lineRule="auto"/>
        <w:rPr>
          <w:sz w:val="20"/>
          <w:szCs w:val="20"/>
          <w:color w:val="auto"/>
        </w:rPr>
      </w:pPr>
      <w:r>
        <w:rPr>
          <w:rFonts w:ascii="Times New Roman" w:cs="Times New Roman" w:eastAsia="Times New Roman" w:hAnsi="Times New Roman"/>
          <w:sz w:val="18"/>
          <w:szCs w:val="18"/>
          <w:color w:val="auto"/>
        </w:rPr>
        <w:t>Check the appropriate box below if the Form 8-K filing is intended to simultaneously satisfy the filing obligation of the registrant under any of the following provisions (</w:t>
      </w:r>
      <w:r>
        <w:rPr>
          <w:rFonts w:ascii="Times New Roman" w:cs="Times New Roman" w:eastAsia="Times New Roman" w:hAnsi="Times New Roman"/>
          <w:sz w:val="18"/>
          <w:szCs w:val="18"/>
          <w:u w:val="single" w:color="auto"/>
          <w:color w:val="auto"/>
        </w:rPr>
        <w:t>see</w:t>
      </w:r>
      <w:r>
        <w:rPr>
          <w:rFonts w:ascii="Times New Roman" w:cs="Times New Roman" w:eastAsia="Times New Roman" w:hAnsi="Times New Roman"/>
          <w:sz w:val="18"/>
          <w:szCs w:val="18"/>
          <w:color w:val="auto"/>
        </w:rPr>
        <w:t xml:space="preserve"> General Instruction A.2. below):</w:t>
      </w:r>
    </w:p>
    <w:p>
      <w:pPr>
        <w:spacing w:after="0" w:line="67" w:lineRule="exact"/>
        <w:rPr>
          <w:sz w:val="24"/>
          <w:szCs w:val="24"/>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Written communications pursuant to Rule 425 under the Securities Act (17 CFR 230.425)</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Soliciting material pursuant to Rule 14a-12 under the Exchange Act (17 CFR 240.14a-12)</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14d-2(b) under the Exchange Act (17 CFR 240.14d-2(b))</w:t>
      </w:r>
    </w:p>
    <w:p>
      <w:pPr>
        <w:spacing w:after="0" w:line="130" w:lineRule="exact"/>
        <w:rPr>
          <w:rFonts w:ascii="MS PGothic" w:cs="MS PGothic" w:eastAsia="MS PGothic" w:hAnsi="MS PGothic"/>
          <w:sz w:val="18"/>
          <w:szCs w:val="18"/>
          <w:color w:val="auto"/>
        </w:rPr>
      </w:pPr>
    </w:p>
    <w:p>
      <w:pPr>
        <w:ind w:right="2020" w:firstLine="428"/>
        <w:spacing w:after="0" w:line="458" w:lineRule="auto"/>
        <w:tabs>
          <w:tab w:leader="none" w:pos="972"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13e-4(c) under the Exchange Act (17 CFR 240.13e-4(c)) Securities registered pursuant to Section 12(b) of the Act:</w:t>
      </w:r>
    </w:p>
    <w:tbl>
      <w:tblPr>
        <w:tblLayout w:type="fixed"/>
        <w:tblInd w:w="0" w:type="dxa"/>
        <w:tblCellMar>
          <w:top w:w="0" w:type="dxa"/>
          <w:left w:w="0" w:type="dxa"/>
          <w:bottom w:w="0" w:type="dxa"/>
          <w:right w:w="0" w:type="dxa"/>
        </w:tblCellMar>
      </w:tblPr>
      <w:tr>
        <w:trPr>
          <w:trHeight w:val="149"/>
        </w:trPr>
        <w:tc>
          <w:tcPr>
            <w:tcW w:w="3860" w:type="dxa"/>
            <w:vAlign w:val="bottom"/>
            <w:gridSpan w:val="2"/>
            <w:vMerge w:val="restart"/>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Title of Each Class</w:t>
            </w:r>
          </w:p>
        </w:tc>
        <w:tc>
          <w:tcPr>
            <w:tcW w:w="3620" w:type="dxa"/>
            <w:vAlign w:val="bottom"/>
            <w:gridSpan w:val="2"/>
          </w:tcPr>
          <w:p>
            <w:pPr>
              <w:ind w:left="1520"/>
              <w:spacing w:after="0" w:line="149" w:lineRule="exact"/>
              <w:rPr>
                <w:sz w:val="20"/>
                <w:szCs w:val="20"/>
                <w:color w:val="auto"/>
              </w:rPr>
            </w:pPr>
            <w:r>
              <w:rPr>
                <w:rFonts w:ascii="Times New Roman" w:cs="Times New Roman" w:eastAsia="Times New Roman" w:hAnsi="Times New Roman"/>
                <w:sz w:val="14"/>
                <w:szCs w:val="14"/>
                <w:b w:val="1"/>
                <w:bCs w:val="1"/>
                <w:color w:val="auto"/>
              </w:rPr>
              <w:t>Trading</w:t>
            </w:r>
          </w:p>
        </w:tc>
        <w:tc>
          <w:tcPr>
            <w:tcW w:w="354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Name of Each Exchange</w:t>
            </w:r>
          </w:p>
        </w:tc>
        <w:tc>
          <w:tcPr>
            <w:tcW w:w="0" w:type="dxa"/>
            <w:vAlign w:val="bottom"/>
          </w:tcPr>
          <w:p>
            <w:pPr>
              <w:spacing w:after="0"/>
              <w:rPr>
                <w:sz w:val="1"/>
                <w:szCs w:val="1"/>
                <w:color w:val="auto"/>
              </w:rPr>
            </w:pPr>
          </w:p>
        </w:tc>
      </w:tr>
      <w:tr>
        <w:trPr>
          <w:trHeight w:val="187"/>
        </w:trPr>
        <w:tc>
          <w:tcPr>
            <w:tcW w:w="3860" w:type="dxa"/>
            <w:vAlign w:val="bottom"/>
            <w:gridSpan w:val="2"/>
            <w:vMerge w:val="continue"/>
          </w:tcPr>
          <w:p>
            <w:pPr>
              <w:spacing w:after="0"/>
              <w:rPr>
                <w:sz w:val="16"/>
                <w:szCs w:val="16"/>
                <w:color w:val="auto"/>
              </w:rPr>
            </w:pP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Symbol</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on which Registered</w:t>
            </w:r>
          </w:p>
        </w:tc>
        <w:tc>
          <w:tcPr>
            <w:tcW w:w="0" w:type="dxa"/>
            <w:vAlign w:val="bottom"/>
          </w:tcPr>
          <w:p>
            <w:pPr>
              <w:spacing w:after="0"/>
              <w:rPr>
                <w:sz w:val="1"/>
                <w:szCs w:val="1"/>
                <w:color w:val="auto"/>
              </w:rPr>
            </w:pPr>
          </w:p>
        </w:tc>
      </w:tr>
      <w:tr>
        <w:trPr>
          <w:trHeight w:val="228"/>
        </w:trPr>
        <w:tc>
          <w:tcPr>
            <w:tcW w:w="37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9"/>
              </w:rPr>
              <w:t>Class A common stock, par value $0.001 per share</w:t>
            </w:r>
          </w:p>
        </w:tc>
        <w:tc>
          <w:tcPr>
            <w:tcW w:w="120" w:type="dxa"/>
            <w:vAlign w:val="bottom"/>
          </w:tcPr>
          <w:p>
            <w:pPr>
              <w:spacing w:after="0"/>
              <w:rPr>
                <w:sz w:val="19"/>
                <w:szCs w:val="19"/>
                <w:color w:val="auto"/>
              </w:rPr>
            </w:pPr>
          </w:p>
        </w:tc>
        <w:tc>
          <w:tcPr>
            <w:tcW w:w="3520" w:type="dxa"/>
            <w:vAlign w:val="bottom"/>
            <w:tcBorders>
              <w:top w:val="single" w:sz="8" w:color="auto"/>
            </w:tcBorders>
          </w:tcPr>
          <w:p>
            <w:pPr>
              <w:ind w:left="1520"/>
              <w:spacing w:after="0"/>
              <w:rPr>
                <w:sz w:val="20"/>
                <w:szCs w:val="20"/>
                <w:color w:val="auto"/>
              </w:rPr>
            </w:pPr>
            <w:r>
              <w:rPr>
                <w:rFonts w:ascii="Times New Roman" w:cs="Times New Roman" w:eastAsia="Times New Roman" w:hAnsi="Times New Roman"/>
                <w:sz w:val="18"/>
                <w:szCs w:val="18"/>
                <w:color w:val="auto"/>
              </w:rPr>
              <w:t>MSTR</w:t>
            </w:r>
          </w:p>
        </w:tc>
        <w:tc>
          <w:tcPr>
            <w:tcW w:w="100" w:type="dxa"/>
            <w:vAlign w:val="bottom"/>
          </w:tcPr>
          <w:p>
            <w:pPr>
              <w:spacing w:after="0"/>
              <w:rPr>
                <w:sz w:val="19"/>
                <w:szCs w:val="19"/>
                <w:color w:val="auto"/>
              </w:rPr>
            </w:pPr>
          </w:p>
        </w:tc>
        <w:tc>
          <w:tcPr>
            <w:tcW w:w="35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rPr>
              <w:t>The Nasdaq Global Select Market</w:t>
            </w:r>
          </w:p>
        </w:tc>
        <w:tc>
          <w:tcPr>
            <w:tcW w:w="0" w:type="dxa"/>
            <w:vAlign w:val="bottom"/>
          </w:tcPr>
          <w:p>
            <w:pPr>
              <w:spacing w:after="0"/>
              <w:rPr>
                <w:sz w:val="1"/>
                <w:szCs w:val="1"/>
                <w:color w:val="auto"/>
              </w:rPr>
            </w:pPr>
          </w:p>
        </w:tc>
      </w:tr>
    </w:tbl>
    <w:p>
      <w:pPr>
        <w:spacing w:after="0" w:line="125" w:lineRule="exact"/>
        <w:rPr>
          <w:sz w:val="24"/>
          <w:szCs w:val="24"/>
          <w:color w:val="auto"/>
        </w:rPr>
      </w:pPr>
    </w:p>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Indicate by check mark whether the registrant is an emerging growth company as defined in Rule 405 of the Securities Act of 1933 (§230.405 of this chapter) or Rule 12b-2 of the Securities Exchange Act of 1934 (§240.12b-2 of this chapter).</w:t>
      </w:r>
    </w:p>
    <w:p>
      <w:pPr>
        <w:spacing w:after="0" w:line="67" w:lineRule="exact"/>
        <w:rPr>
          <w:sz w:val="24"/>
          <w:szCs w:val="24"/>
          <w:color w:val="auto"/>
        </w:rPr>
      </w:pPr>
    </w:p>
    <w:p>
      <w:pPr>
        <w:spacing w:after="0" w:line="207" w:lineRule="exact"/>
        <w:rPr>
          <w:sz w:val="20"/>
          <w:szCs w:val="20"/>
          <w:color w:val="auto"/>
        </w:rPr>
      </w:pPr>
      <w:r>
        <w:rPr>
          <w:rFonts w:ascii="Times New Roman" w:cs="Times New Roman" w:eastAsia="Times New Roman" w:hAnsi="Times New Roman"/>
          <w:sz w:val="18"/>
          <w:szCs w:val="18"/>
          <w:color w:val="auto"/>
        </w:rPr>
        <w:t xml:space="preserve">Emerging growth company  </w:t>
      </w:r>
      <w:r>
        <w:rPr>
          <w:rFonts w:ascii="MS PGothic" w:cs="MS PGothic" w:eastAsia="MS PGothic" w:hAnsi="MS PGothic"/>
          <w:sz w:val="18"/>
          <w:szCs w:val="18"/>
          <w:color w:val="auto"/>
        </w:rPr>
        <w:t>☐</w:t>
      </w:r>
    </w:p>
    <w:p>
      <w:pPr>
        <w:spacing w:after="0" w:line="212" w:lineRule="exact"/>
        <w:rPr>
          <w:sz w:val="24"/>
          <w:szCs w:val="24"/>
          <w:color w:val="auto"/>
        </w:rPr>
      </w:pPr>
    </w:p>
    <w:p>
      <w:pPr>
        <w:jc w:val="both"/>
        <w:ind w:right="20"/>
        <w:spacing w:after="0" w:line="239"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-1905</wp:posOffset>
            </wp:positionH>
            <wp:positionV relativeFrom="paragraph">
              <wp:posOffset>128270</wp:posOffset>
            </wp:positionV>
            <wp:extent cx="6995160" cy="889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6995160" cy="8890"/>
                    </a:xfrm>
                    <a:prstGeom prst="rect">
                      <a:avLst/>
                    </a:prstGeom>
                    <a:noFill/>
                  </pic:spPr>
                </pic:pic>
              </a:graphicData>
            </a:graphic>
          </wp:anchor>
        </w:drawing>
        <w:drawing>
          <wp:anchor simplePos="0" relativeHeight="251657728" behindDoc="1" locked="0" layoutInCell="0" allowOverlap="1">
            <wp:simplePos x="0" y="0"/>
            <wp:positionH relativeFrom="column">
              <wp:posOffset>-1905</wp:posOffset>
            </wp:positionH>
            <wp:positionV relativeFrom="paragraph">
              <wp:posOffset>171450</wp:posOffset>
            </wp:positionV>
            <wp:extent cx="6995160" cy="889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6995160" cy="8890"/>
                    </a:xfrm>
                    <a:prstGeom prst="rect">
                      <a:avLst/>
                    </a:prstGeom>
                    <a:noFill/>
                  </pic:spPr>
                </pic:pic>
              </a:graphicData>
            </a:graphic>
          </wp:anchor>
        </w:drawing>
      </w:r>
    </w:p>
    <w:p>
      <w:pPr>
        <w:sectPr>
          <w:pgSz w:w="11900" w:h="16838" w:orient="portrait"/>
          <w:cols w:equalWidth="0" w:num="1">
            <w:col w:w="11020"/>
          </w:cols>
          <w:pgMar w:left="440" w:top="376" w:right="439" w:bottom="1440" w:gutter="0" w:footer="0" w:header="0"/>
          <w:type w:val="continuous"/>
        </w:sectPr>
      </w:pPr>
    </w:p>
    <w:bookmarkStart w:id="1" w:name="page2"/>
    <w:bookmarkEnd w:id="1"/>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Item 8.01.</w:t>
      </w:r>
      <w:r>
        <w:rPr>
          <w:sz w:val="20"/>
          <w:szCs w:val="20"/>
          <w:color w:val="auto"/>
        </w:rPr>
        <w:tab/>
      </w:r>
      <w:r>
        <w:rPr>
          <w:rFonts w:ascii="Times New Roman" w:cs="Times New Roman" w:eastAsia="Times New Roman" w:hAnsi="Times New Roman"/>
          <w:sz w:val="18"/>
          <w:szCs w:val="18"/>
          <w:b w:val="1"/>
          <w:bCs w:val="1"/>
          <w:color w:val="auto"/>
        </w:rPr>
        <w:t>Other Events.</w:t>
      </w:r>
    </w:p>
    <w:p>
      <w:pPr>
        <w:spacing w:after="0" w:line="12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As previously disclosed, on June 18, 2024, MicroStrategy Incorporated (“MicroStrategy”) completed a private offering of convertible senior notes (the “Offering”). The Offering, which included a 2.25% coupon and an approximately 35% conversion premium over the U.S. composite volume weighted average price of MicroStrategy’s class A common stock from 9:30 a.m. through 4:00 p.m. Eastern Daylight Time on June 13, 2024, was well received in the marketplace and upsized to a total of $800.0 million in aggregate principal amount. This amount included the exercise by the initial purchasers of their option to purchase $100.0 million of additional notes. Net proceeds from the Offering to MicroStrategy totaled approximately $786.0 million.</w:t>
      </w:r>
    </w:p>
    <w:p>
      <w:pPr>
        <w:spacing w:after="0" w:line="183"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On June 20, 2024, MicroStrategy announced that, during the period between April 27, 2024 and June 19, 2024, MicroStrategy acquired approximately 11,931 bitcoins for approximately $786.0 million in cash, using proceeds from the Offering and Excess Cash (defined in our quarterly report on Form 10-Q for the three months ended March 31, 2024), at an average price of approximately $65,883 per bitcoin, inclusive of fees and expenses.</w:t>
      </w:r>
    </w:p>
    <w:p>
      <w:pPr>
        <w:spacing w:after="0" w:line="176"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As of June 20, 2024, MicroStrategy, together with its subsidiaries, held an aggregate of approximately 226,331 bitcoins, which were acquired at an aggregate purchase price of approximately $8.33 billion and an average purchase price of approximately $36,798 per bitcoin, inclusive of fees and expenses.</w:t>
      </w:r>
    </w:p>
    <w:p>
      <w:pPr>
        <w:sectPr>
          <w:pgSz w:w="11900" w:h="16838" w:orient="portrait"/>
          <w:cols w:equalWidth="0" w:num="1">
            <w:col w:w="11000"/>
          </w:cols>
          <w:pgMar w:left="440" w:top="293" w:right="459" w:bottom="1440" w:gutter="0" w:footer="0" w:header="0"/>
        </w:sectPr>
      </w:pPr>
    </w:p>
    <w:bookmarkStart w:id="2" w:name="page3"/>
    <w:bookmarkEnd w:id="2"/>
    <w:p>
      <w:pPr>
        <w:jc w:val="cente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24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7174865" cy="55245"/>
                    </a:xfrm>
                    <a:prstGeom prst="rect">
                      <a:avLst/>
                    </a:prstGeom>
                    <a:noFill/>
                  </pic:spPr>
                </pic:pic>
              </a:graphicData>
            </a:graphic>
          </wp:anchor>
        </w:drawing>
        <w:t>SIGNATURE</w:t>
      </w:r>
    </w:p>
    <w:p>
      <w:pPr>
        <w:spacing w:after="0" w:line="229" w:lineRule="exact"/>
        <w:rPr>
          <w:sz w:val="20"/>
          <w:szCs w:val="20"/>
          <w:color w:val="auto"/>
        </w:rPr>
      </w:pPr>
    </w:p>
    <w:p>
      <w:pPr>
        <w:ind w:right="20"/>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189"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3480" w:type="dxa"/>
            <w:vAlign w:val="bottom"/>
          </w:tcPr>
          <w:p>
            <w:pPr>
              <w:spacing w:after="0"/>
              <w:rPr>
                <w:sz w:val="20"/>
                <w:szCs w:val="20"/>
                <w:color w:val="auto"/>
              </w:rPr>
            </w:pPr>
            <w:r>
              <w:rPr>
                <w:rFonts w:ascii="Times New Roman" w:cs="Times New Roman" w:eastAsia="Times New Roman" w:hAnsi="Times New Roman"/>
                <w:sz w:val="18"/>
                <w:szCs w:val="18"/>
                <w:color w:val="auto"/>
              </w:rPr>
              <w:t>Date: June 20, 2024</w:t>
            </w:r>
          </w:p>
        </w:tc>
        <w:tc>
          <w:tcPr>
            <w:tcW w:w="7540" w:type="dxa"/>
            <w:vAlign w:val="bottom"/>
            <w:gridSpan w:val="2"/>
          </w:tcPr>
          <w:p>
            <w:pPr>
              <w:ind w:left="2040"/>
              <w:spacing w:after="0"/>
              <w:rPr>
                <w:sz w:val="20"/>
                <w:szCs w:val="20"/>
                <w:color w:val="auto"/>
              </w:rPr>
            </w:pPr>
            <w:r>
              <w:rPr>
                <w:rFonts w:ascii="Times New Roman" w:cs="Times New Roman" w:eastAsia="Times New Roman" w:hAnsi="Times New Roman"/>
                <w:sz w:val="18"/>
                <w:szCs w:val="18"/>
                <w:color w:val="auto"/>
              </w:rPr>
              <w:t>MicroStrategy Incorporated</w:t>
            </w:r>
          </w:p>
        </w:tc>
      </w:tr>
      <w:tr>
        <w:trPr>
          <w:trHeight w:val="234"/>
        </w:trPr>
        <w:tc>
          <w:tcPr>
            <w:tcW w:w="3480" w:type="dxa"/>
            <w:vAlign w:val="bottom"/>
          </w:tcPr>
          <w:p>
            <w:pPr>
              <w:spacing w:after="0"/>
              <w:rPr>
                <w:sz w:val="20"/>
                <w:szCs w:val="20"/>
                <w:color w:val="auto"/>
              </w:rPr>
            </w:pPr>
          </w:p>
        </w:tc>
        <w:tc>
          <w:tcPr>
            <w:tcW w:w="7540" w:type="dxa"/>
            <w:vAlign w:val="bottom"/>
            <w:gridSpan w:val="2"/>
          </w:tcPr>
          <w:p>
            <w:pPr>
              <w:ind w:left="2040"/>
              <w:spacing w:after="0"/>
              <w:rPr>
                <w:sz w:val="20"/>
                <w:szCs w:val="20"/>
                <w:color w:val="auto"/>
              </w:rPr>
            </w:pPr>
            <w:r>
              <w:rPr>
                <w:rFonts w:ascii="Times New Roman" w:cs="Times New Roman" w:eastAsia="Times New Roman" w:hAnsi="Times New Roman"/>
                <w:sz w:val="18"/>
                <w:szCs w:val="18"/>
                <w:color w:val="auto"/>
              </w:rPr>
              <w:t>(Registrant)</w:t>
            </w:r>
          </w:p>
        </w:tc>
      </w:tr>
      <w:tr>
        <w:trPr>
          <w:trHeight w:val="445"/>
        </w:trPr>
        <w:tc>
          <w:tcPr>
            <w:tcW w:w="3480" w:type="dxa"/>
            <w:vAlign w:val="bottom"/>
          </w:tcPr>
          <w:p>
            <w:pPr>
              <w:spacing w:after="0"/>
              <w:rPr>
                <w:sz w:val="24"/>
                <w:szCs w:val="24"/>
                <w:color w:val="auto"/>
              </w:rPr>
            </w:pPr>
          </w:p>
        </w:tc>
        <w:tc>
          <w:tcPr>
            <w:tcW w:w="2680" w:type="dxa"/>
            <w:vAlign w:val="bottom"/>
          </w:tcPr>
          <w:p>
            <w:pPr>
              <w:ind w:left="2040"/>
              <w:spacing w:after="0"/>
              <w:rPr>
                <w:sz w:val="20"/>
                <w:szCs w:val="20"/>
                <w:color w:val="auto"/>
              </w:rPr>
            </w:pPr>
            <w:r>
              <w:rPr>
                <w:rFonts w:ascii="Times New Roman" w:cs="Times New Roman" w:eastAsia="Times New Roman" w:hAnsi="Times New Roman"/>
                <w:sz w:val="18"/>
                <w:szCs w:val="18"/>
                <w:color w:val="auto"/>
              </w:rPr>
              <w:t>By:</w:t>
            </w:r>
          </w:p>
        </w:tc>
        <w:tc>
          <w:tcPr>
            <w:tcW w:w="486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rPr>
              <w:t>/s/ W. Ming Shao</w:t>
            </w:r>
          </w:p>
        </w:tc>
      </w:tr>
      <w:tr>
        <w:trPr>
          <w:trHeight w:val="205"/>
        </w:trPr>
        <w:tc>
          <w:tcPr>
            <w:tcW w:w="3480" w:type="dxa"/>
            <w:vAlign w:val="bottom"/>
          </w:tcPr>
          <w:p>
            <w:pPr>
              <w:spacing w:after="0"/>
              <w:rPr>
                <w:sz w:val="17"/>
                <w:szCs w:val="17"/>
                <w:color w:val="auto"/>
              </w:rPr>
            </w:pPr>
          </w:p>
        </w:tc>
        <w:tc>
          <w:tcPr>
            <w:tcW w:w="2680" w:type="dxa"/>
            <w:vAlign w:val="bottom"/>
          </w:tcPr>
          <w:p>
            <w:pPr>
              <w:ind w:left="2040"/>
              <w:spacing w:after="0" w:line="205" w:lineRule="exact"/>
              <w:rPr>
                <w:sz w:val="20"/>
                <w:szCs w:val="20"/>
                <w:color w:val="auto"/>
              </w:rPr>
            </w:pPr>
            <w:r>
              <w:rPr>
                <w:rFonts w:ascii="Times New Roman" w:cs="Times New Roman" w:eastAsia="Times New Roman" w:hAnsi="Times New Roman"/>
                <w:sz w:val="18"/>
                <w:szCs w:val="18"/>
                <w:color w:val="auto"/>
              </w:rPr>
              <w:t>Name:</w:t>
            </w:r>
          </w:p>
        </w:tc>
        <w:tc>
          <w:tcPr>
            <w:tcW w:w="4860" w:type="dxa"/>
            <w:vAlign w:val="bottom"/>
          </w:tcPr>
          <w:p>
            <w:pPr>
              <w:spacing w:after="0" w:line="205" w:lineRule="exact"/>
              <w:rPr>
                <w:sz w:val="20"/>
                <w:szCs w:val="20"/>
                <w:color w:val="auto"/>
              </w:rPr>
            </w:pPr>
            <w:r>
              <w:rPr>
                <w:rFonts w:ascii="Times New Roman" w:cs="Times New Roman" w:eastAsia="Times New Roman" w:hAnsi="Times New Roman"/>
                <w:sz w:val="18"/>
                <w:szCs w:val="18"/>
                <w:color w:val="auto"/>
              </w:rPr>
              <w:t>W. Ming Shao</w:t>
            </w:r>
          </w:p>
        </w:tc>
      </w:tr>
      <w:tr>
        <w:trPr>
          <w:trHeight w:val="234"/>
        </w:trPr>
        <w:tc>
          <w:tcPr>
            <w:tcW w:w="3480" w:type="dxa"/>
            <w:vAlign w:val="bottom"/>
          </w:tcPr>
          <w:p>
            <w:pPr>
              <w:spacing w:after="0"/>
              <w:rPr>
                <w:sz w:val="20"/>
                <w:szCs w:val="20"/>
                <w:color w:val="auto"/>
              </w:rPr>
            </w:pPr>
          </w:p>
        </w:tc>
        <w:tc>
          <w:tcPr>
            <w:tcW w:w="2680" w:type="dxa"/>
            <w:vAlign w:val="bottom"/>
          </w:tcPr>
          <w:p>
            <w:pPr>
              <w:ind w:left="2040"/>
              <w:spacing w:after="0"/>
              <w:rPr>
                <w:sz w:val="20"/>
                <w:szCs w:val="20"/>
                <w:color w:val="auto"/>
              </w:rPr>
            </w:pPr>
            <w:r>
              <w:rPr>
                <w:rFonts w:ascii="Times New Roman" w:cs="Times New Roman" w:eastAsia="Times New Roman" w:hAnsi="Times New Roman"/>
                <w:sz w:val="18"/>
                <w:szCs w:val="18"/>
                <w:color w:val="auto"/>
              </w:rPr>
              <w:t>Title:</w:t>
            </w:r>
          </w:p>
        </w:tc>
        <w:tc>
          <w:tcPr>
            <w:tcW w:w="4860" w:type="dxa"/>
            <w:vAlign w:val="bottom"/>
          </w:tcPr>
          <w:p>
            <w:pPr>
              <w:spacing w:after="0"/>
              <w:rPr>
                <w:sz w:val="20"/>
                <w:szCs w:val="20"/>
                <w:color w:val="auto"/>
              </w:rPr>
            </w:pPr>
            <w:r>
              <w:rPr>
                <w:rFonts w:ascii="Times New Roman" w:cs="Times New Roman" w:eastAsia="Times New Roman" w:hAnsi="Times New Roman"/>
                <w:sz w:val="18"/>
                <w:szCs w:val="18"/>
                <w:color w:val="auto"/>
              </w:rPr>
              <w:t>Senior Executive Vice President &amp; General Counsel</w:t>
            </w:r>
          </w:p>
        </w:tc>
      </w:tr>
    </w:tbl>
    <w:p>
      <w:pPr>
        <w:spacing w:after="0" w:line="1" w:lineRule="exact"/>
        <w:rPr>
          <w:sz w:val="20"/>
          <w:szCs w:val="20"/>
          <w:color w:val="auto"/>
        </w:rPr>
      </w:pPr>
    </w:p>
    <w:sectPr>
      <w:pgSz w:w="11900" w:h="16838" w:orient="portrait"/>
      <w:cols w:equalWidth="0" w:num="1">
        <w:col w:w="11020"/>
      </w:cols>
      <w:pgMar w:left="440" w:top="293" w:right="43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327B23C6"/>
    <w:multiLevelType w:val="hybridMultilevel"/>
    <w:lvl w:ilvl="0">
      <w:lvlJc w:val="left"/>
      <w:lvlText w:val="☐"/>
      <w:numFmt w:val="bullet"/>
      <w:start w:val="1"/>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2024-06-20T07:16:09Z</dcterms:created>
  <dcterms:modified xsi:type="dcterms:W3CDTF">2024-06-20T07:16:09Z</dcterms:modified>
</cp:coreProperties>
</file>